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362" w:rsidRDefault="00AB2986">
      <w:pPr>
        <w:ind w:left="0" w:right="-57" w:hanging="2"/>
        <w:jc w:val="center"/>
        <w:rPr>
          <w:rFonts w:ascii="Calibri" w:eastAsia="Calibri" w:hAnsi="Calibri" w:cs="Calibri"/>
          <w:color w:val="17365D"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114300" distR="114300">
            <wp:extent cx="990600" cy="939165"/>
            <wp:effectExtent l="0" t="0" r="0" b="0"/>
            <wp:docPr id="102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9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0362" w:rsidRDefault="00AB2986">
      <w:pPr>
        <w:ind w:left="0" w:right="-57" w:hanging="2"/>
        <w:jc w:val="center"/>
        <w:rPr>
          <w:rFonts w:ascii="Verdana" w:eastAsia="Verdana" w:hAnsi="Verdana" w:cs="Verdana"/>
          <w:color w:val="17365D"/>
        </w:rPr>
      </w:pPr>
      <w:r>
        <w:rPr>
          <w:rFonts w:ascii="Verdana" w:eastAsia="Verdana" w:hAnsi="Verdana" w:cs="Verdana"/>
          <w:color w:val="17365D"/>
        </w:rPr>
        <w:t>PODER JUDICIÁRIO</w:t>
      </w:r>
    </w:p>
    <w:p w:rsidR="00280362" w:rsidRDefault="00AB2986">
      <w:pPr>
        <w:ind w:left="0" w:right="-57" w:hanging="2"/>
        <w:jc w:val="center"/>
        <w:rPr>
          <w:rFonts w:ascii="Verdana" w:eastAsia="Verdana" w:hAnsi="Verdana" w:cs="Verdana"/>
          <w:color w:val="17365D"/>
        </w:rPr>
      </w:pPr>
      <w:r>
        <w:rPr>
          <w:rFonts w:ascii="Verdana" w:eastAsia="Verdana" w:hAnsi="Verdana" w:cs="Verdana"/>
          <w:color w:val="17365D"/>
        </w:rPr>
        <w:t>JUSTIÇA DO TRABALHO</w:t>
      </w:r>
    </w:p>
    <w:p w:rsidR="00280362" w:rsidRDefault="00AB2986">
      <w:pPr>
        <w:ind w:left="0" w:right="-57" w:hanging="2"/>
        <w:jc w:val="center"/>
        <w:rPr>
          <w:rFonts w:ascii="Verdana" w:eastAsia="Verdana" w:hAnsi="Verdana" w:cs="Verdana"/>
          <w:color w:val="17365D"/>
        </w:rPr>
      </w:pPr>
      <w:r>
        <w:rPr>
          <w:rFonts w:ascii="Verdana" w:eastAsia="Verdana" w:hAnsi="Verdana" w:cs="Verdana"/>
          <w:color w:val="17365D"/>
        </w:rPr>
        <w:t>TRIBUNAL REGIONAL DO TRABALHO DA 7ª REGIÃO</w:t>
      </w:r>
    </w:p>
    <w:p w:rsidR="00280362" w:rsidRDefault="00AB2986">
      <w:pPr>
        <w:ind w:left="0" w:right="-57" w:hanging="2"/>
        <w:jc w:val="center"/>
        <w:rPr>
          <w:rFonts w:ascii="Verdana" w:eastAsia="Verdana" w:hAnsi="Verdana" w:cs="Verdana"/>
          <w:u w:val="single"/>
        </w:rPr>
      </w:pPr>
      <w:r>
        <w:rPr>
          <w:rFonts w:ascii="Verdana" w:eastAsia="Verdana" w:hAnsi="Verdana" w:cs="Verdana"/>
          <w:color w:val="17365D"/>
        </w:rPr>
        <w:t>DIVISÃO DE MANUTENÇÃO</w:t>
      </w:r>
    </w:p>
    <w:p w:rsidR="00280362" w:rsidRDefault="00280362">
      <w:pPr>
        <w:ind w:left="0" w:right="-57" w:hanging="2"/>
        <w:jc w:val="both"/>
        <w:rPr>
          <w:rFonts w:ascii="Verdana" w:eastAsia="Verdana" w:hAnsi="Verdana" w:cs="Verdana"/>
          <w:u w:val="single"/>
        </w:rPr>
      </w:pPr>
    </w:p>
    <w:p w:rsidR="00280362" w:rsidRDefault="00AB29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57" w:hanging="2"/>
        <w:jc w:val="center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color w:val="000000"/>
          <w:u w:val="single"/>
        </w:rPr>
        <w:t>ESTUDOS TÉCNICOS PRELIMINARES - ETP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PROAD nº 921/2024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  <w:b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DESCRIÇÃO DA NECESSIDADE: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Esta contratação irá possibilitar a instalação e manutenção de pontos lógicos (pontos de rede), com sua respectiva infraestrutura, inclusive pontos elétricos, para estações de trabalho e equipamentos de tecnologia da informação distribuídos em todas as uni</w:t>
      </w:r>
      <w:r>
        <w:rPr>
          <w:rFonts w:ascii="Verdana" w:eastAsia="Verdana" w:hAnsi="Verdana" w:cs="Verdana"/>
        </w:rPr>
        <w:t xml:space="preserve">dades jurisdicionais do Tribunal Regional do Trabalho da 7ª Região, de forma a adequar as respostas da área </w:t>
      </w:r>
      <w:r>
        <w:rPr>
          <w:rFonts w:ascii="Verdana" w:eastAsia="Verdana" w:hAnsi="Verdana" w:cs="Verdana"/>
        </w:rPr>
        <w:t xml:space="preserve">de </w:t>
      </w:r>
      <w:r>
        <w:rPr>
          <w:rFonts w:ascii="Verdana" w:eastAsia="Verdana" w:hAnsi="Verdana" w:cs="Verdana"/>
        </w:rPr>
        <w:t>Manutenção à demanda existente do Tribunal, garantindo a qualidade e confiabilidade.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ind w:left="0" w:hanging="2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 xml:space="preserve">O não atendimento desta </w:t>
      </w:r>
      <w:r>
        <w:rPr>
          <w:rFonts w:ascii="Verdana" w:eastAsia="Verdana" w:hAnsi="Verdana" w:cs="Verdana"/>
        </w:rPr>
        <w:t>contratação</w:t>
      </w:r>
      <w:r>
        <w:rPr>
          <w:rFonts w:ascii="Verdana" w:eastAsia="Verdana" w:hAnsi="Verdana" w:cs="Verdana"/>
        </w:rPr>
        <w:t xml:space="preserve"> inviabilizará o atendimento adequado das demandas deste Regional no que se refere aos </w:t>
      </w:r>
      <w:r>
        <w:rPr>
          <w:rFonts w:ascii="Verdana" w:eastAsia="Verdana" w:hAnsi="Verdana" w:cs="Verdana"/>
        </w:rPr>
        <w:t>itens</w:t>
      </w:r>
      <w:r>
        <w:rPr>
          <w:rFonts w:ascii="Verdana" w:eastAsia="Verdana" w:hAnsi="Verdana" w:cs="Verdana"/>
        </w:rPr>
        <w:t xml:space="preserve"> em questão, causando sérios prejuízos às atividades desempenhadas pelas Unidades Usuárias.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ÁREA REQUISITANTE: </w:t>
      </w:r>
      <w:r>
        <w:rPr>
          <w:rFonts w:ascii="Verdana" w:eastAsia="Verdana" w:hAnsi="Verdana" w:cs="Verdana"/>
        </w:rPr>
        <w:t xml:space="preserve">Coordenadoria </w:t>
      </w:r>
      <w:r>
        <w:rPr>
          <w:rFonts w:ascii="Verdana" w:eastAsia="Verdana" w:hAnsi="Verdana" w:cs="Verdana"/>
        </w:rPr>
        <w:t>de Manutenção e Projetos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DESCRIÇÃO DOS REQUISITOS DA CONTRATAÇÃO:  </w:t>
      </w:r>
    </w:p>
    <w:p w:rsidR="00280362" w:rsidRDefault="00AB2986">
      <w:pPr>
        <w:numPr>
          <w:ilvl w:val="0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Trata-se de contratação de serviço comum, cujos padrões de desempenho e qualidade podem ser objetivamente definidos no edital por meio de especificações usuais no mercado. </w:t>
      </w:r>
    </w:p>
    <w:p w:rsidR="00280362" w:rsidRDefault="00AB2986">
      <w:pPr>
        <w:numPr>
          <w:ilvl w:val="0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São elementos constitutivos do Termo de </w:t>
      </w:r>
      <w:r>
        <w:rPr>
          <w:rFonts w:ascii="Verdana" w:eastAsia="Verdana" w:hAnsi="Verdana" w:cs="Verdana"/>
        </w:rPr>
        <w:t>Referência, com descrição detalhada dos requisitos de contratação: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A: Planilha de Itens de </w:t>
      </w:r>
      <w:r>
        <w:rPr>
          <w:rFonts w:ascii="Verdana" w:eastAsia="Verdana" w:hAnsi="Verdana" w:cs="Verdana"/>
        </w:rPr>
        <w:t>Orçamento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B: </w:t>
      </w:r>
      <w:r>
        <w:rPr>
          <w:rFonts w:ascii="Verdana" w:eastAsia="Verdana" w:hAnsi="Verdana" w:cs="Verdana"/>
        </w:rPr>
        <w:t>Especificações Técnicas Itens de Engenharia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C: </w:t>
      </w:r>
      <w:r>
        <w:rPr>
          <w:rFonts w:ascii="Verdana" w:eastAsia="Verdana" w:hAnsi="Verdana" w:cs="Verdana"/>
        </w:rPr>
        <w:t>Especificações Técnicas Itens de TIC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D: </w:t>
      </w:r>
      <w:r>
        <w:rPr>
          <w:rFonts w:ascii="Verdana" w:eastAsia="Verdana" w:hAnsi="Verdana" w:cs="Verdana"/>
        </w:rPr>
        <w:t>Preços máximos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Anexo E: Modelo de Termo d</w:t>
      </w:r>
      <w:r>
        <w:rPr>
          <w:rFonts w:ascii="Verdana" w:eastAsia="Verdana" w:hAnsi="Verdana" w:cs="Verdana"/>
        </w:rPr>
        <w:t>e Gar</w:t>
      </w:r>
      <w:r>
        <w:rPr>
          <w:rFonts w:ascii="Verdana" w:eastAsia="Verdana" w:hAnsi="Verdana" w:cs="Verdana"/>
        </w:rPr>
        <w:t>antia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F: </w:t>
      </w:r>
      <w:r>
        <w:rPr>
          <w:rFonts w:ascii="Verdana" w:eastAsia="Verdana" w:hAnsi="Verdana" w:cs="Verdana"/>
        </w:rPr>
        <w:t>Planilha de Composição da Taxa de Benefícios e Despesas (BDI)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Anexo Ga: C</w:t>
      </w:r>
      <w:r>
        <w:rPr>
          <w:rFonts w:ascii="Verdana" w:eastAsia="Verdana" w:hAnsi="Verdana" w:cs="Verdana"/>
        </w:rPr>
        <w:t>omposições de Custo Unitário Próprias - TRT7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</w:t>
      </w:r>
      <w:r>
        <w:rPr>
          <w:rFonts w:ascii="Verdana" w:eastAsia="Verdana" w:hAnsi="Verdana" w:cs="Verdana"/>
        </w:rPr>
        <w:t>Gb</w:t>
      </w:r>
      <w:r>
        <w:rPr>
          <w:rFonts w:ascii="Verdana" w:eastAsia="Verdana" w:hAnsi="Verdana" w:cs="Verdana"/>
        </w:rPr>
        <w:t xml:space="preserve">: Composições de Custo Unitário SINAPI 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</w:t>
      </w:r>
      <w:r>
        <w:rPr>
          <w:rFonts w:ascii="Verdana" w:eastAsia="Verdana" w:hAnsi="Verdana" w:cs="Verdana"/>
        </w:rPr>
        <w:t>Gc:</w:t>
      </w:r>
      <w:r>
        <w:rPr>
          <w:rFonts w:ascii="Verdana" w:eastAsia="Verdana" w:hAnsi="Verdana" w:cs="Verdana"/>
        </w:rPr>
        <w:t xml:space="preserve"> Composições de Custo Unitário SEINFRA 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</w:t>
      </w:r>
      <w:r>
        <w:rPr>
          <w:rFonts w:ascii="Verdana" w:eastAsia="Verdana" w:hAnsi="Verdana" w:cs="Verdana"/>
        </w:rPr>
        <w:t>Gd:</w:t>
      </w:r>
      <w:r>
        <w:rPr>
          <w:rFonts w:ascii="Verdana" w:eastAsia="Verdana" w:hAnsi="Verdana" w:cs="Verdana"/>
        </w:rPr>
        <w:t xml:space="preserve"> Composições</w:t>
      </w:r>
      <w:r>
        <w:rPr>
          <w:rFonts w:ascii="Verdana" w:eastAsia="Verdana" w:hAnsi="Verdana" w:cs="Verdana"/>
        </w:rPr>
        <w:t xml:space="preserve"> de Custo Unitário ORSE</w:t>
      </w:r>
    </w:p>
    <w:p w:rsidR="00280362" w:rsidRDefault="00AB2986">
      <w:pPr>
        <w:numPr>
          <w:ilvl w:val="1"/>
          <w:numId w:val="1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</w:t>
      </w:r>
      <w:r>
        <w:rPr>
          <w:rFonts w:ascii="Verdana" w:eastAsia="Verdana" w:hAnsi="Verdana" w:cs="Verdana"/>
        </w:rPr>
        <w:t>H:</w:t>
      </w:r>
      <w:r>
        <w:rPr>
          <w:rFonts w:ascii="Verdana" w:eastAsia="Verdana" w:hAnsi="Verdana" w:cs="Verdana"/>
        </w:rPr>
        <w:t xml:space="preserve"> Encargos Sociais incidentes sobre a mão de obra dos serviços de Engenharia</w:t>
      </w:r>
    </w:p>
    <w:p w:rsidR="00280362" w:rsidRDefault="00AB2986">
      <w:pPr>
        <w:widowControl w:val="0"/>
        <w:numPr>
          <w:ilvl w:val="1"/>
          <w:numId w:val="1"/>
        </w:numPr>
        <w:tabs>
          <w:tab w:val="left" w:pos="0"/>
        </w:tabs>
        <w:spacing w:line="276" w:lineRule="auto"/>
        <w:ind w:left="0" w:right="284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Anexo I:  Modelos de Declarações</w:t>
      </w:r>
    </w:p>
    <w:p w:rsidR="00280362" w:rsidRDefault="00AB2986">
      <w:pPr>
        <w:numPr>
          <w:ilvl w:val="0"/>
          <w:numId w:val="1"/>
        </w:numPr>
        <w:spacing w:before="28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 Contratada deverá possuir escritório local na região metropolitana de Fortaleza, visando a garantir a plena execu</w:t>
      </w:r>
      <w:r>
        <w:rPr>
          <w:rFonts w:ascii="Verdana" w:eastAsia="Verdana" w:hAnsi="Verdana" w:cs="Verdana"/>
        </w:rPr>
        <w:t xml:space="preserve">ção das obrigações contratuais. Por se tratar de serviço que requer acompanhamento técnico </w:t>
      </w:r>
      <w:r>
        <w:rPr>
          <w:rFonts w:ascii="Verdana" w:eastAsia="Verdana" w:hAnsi="Verdana" w:cs="Verdana"/>
          <w:i/>
        </w:rPr>
        <w:t>in locu</w:t>
      </w:r>
      <w:r>
        <w:rPr>
          <w:rFonts w:ascii="Verdana" w:eastAsia="Verdana" w:hAnsi="Verdana" w:cs="Verdana"/>
        </w:rPr>
        <w:t xml:space="preserve">, para os levantamentos </w:t>
      </w:r>
      <w:r>
        <w:rPr>
          <w:rFonts w:ascii="Verdana" w:eastAsia="Verdana" w:hAnsi="Verdana" w:cs="Verdana"/>
        </w:rPr>
        <w:lastRenderedPageBreak/>
        <w:t>necessários, é fundamental que a Contratada mantenha uma estrutura local capaz de garantir, entre outras coisas:</w:t>
      </w:r>
    </w:p>
    <w:p w:rsidR="00280362" w:rsidRDefault="00AB2986">
      <w:pPr>
        <w:spacing w:before="28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a) Capacidade de desl</w:t>
      </w:r>
      <w:r>
        <w:rPr>
          <w:rFonts w:ascii="Verdana" w:eastAsia="Verdana" w:hAnsi="Verdana" w:cs="Verdana"/>
        </w:rPr>
        <w:t>ocamento de equipe técnica para levantamentos necessários à execução dos projetos;</w:t>
      </w:r>
    </w:p>
    <w:p w:rsidR="00280362" w:rsidRDefault="00AB2986">
      <w:pPr>
        <w:spacing w:before="28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b) Reuniões periódicas entre a Fiscalização e os prepostos da área administrativa e responsável técnico da Contratada;</w:t>
      </w:r>
    </w:p>
    <w:p w:rsidR="00280362" w:rsidRDefault="00AB2986">
      <w:pPr>
        <w:spacing w:before="28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c) Acompanhamento efetivo dos serviços executados, atr</w:t>
      </w:r>
      <w:r>
        <w:rPr>
          <w:rFonts w:ascii="Verdana" w:eastAsia="Verdana" w:hAnsi="Verdana" w:cs="Verdana"/>
        </w:rPr>
        <w:t>avés da supervisão pelo responsável técnico, garantindo maior qualidade nos serviços prestados;</w:t>
      </w:r>
    </w:p>
    <w:p w:rsidR="00280362" w:rsidRDefault="00AB2986">
      <w:pPr>
        <w:spacing w:before="28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d) Proporcionar a estrutura de trabalho mínima para os técnicos tais como: controle de Jornada laboral, PGR (Programa de Gerenciamento de Riscos), PCMSO, segurança do trabalho, entre outras boas práticas de trabalho;</w:t>
      </w:r>
    </w:p>
    <w:p w:rsidR="00280362" w:rsidRDefault="00AB2986">
      <w:pPr>
        <w:spacing w:before="28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e) Garantir uma rede de apoio técnico e</w:t>
      </w:r>
      <w:r>
        <w:rPr>
          <w:rFonts w:ascii="Verdana" w:eastAsia="Verdana" w:hAnsi="Verdana" w:cs="Verdana"/>
        </w:rPr>
        <w:t xml:space="preserve"> logístico efetiva para a prestação do serviço, reduzindo o tempo de atendimento e promovendo maior qualidade na prestação contratual.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LEVANTAMENTO DE MERCADO: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Foi escolhida a contratação através do Sistema de Registro de Preços de forma a garantir a disponibilidade dos itens listados durante o período de vigência da Ata de Registro de Preços.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Desta forma, os pedidos são realizados de acordo com as necessidades d</w:t>
      </w:r>
      <w:r>
        <w:rPr>
          <w:rFonts w:ascii="Verdana" w:eastAsia="Verdana" w:hAnsi="Verdana" w:cs="Verdana"/>
        </w:rPr>
        <w:t xml:space="preserve">e aquisição do órgão durante a vigência do contrato.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Trata-se de uma metodologia ideal para a instalação e manutenção da infraestrutura de rede de dados deste Tribunal, pois dá agilidade ao processo de contratação, alinhando as necessidades com os pedidos</w:t>
      </w:r>
      <w:r>
        <w:rPr>
          <w:rFonts w:ascii="Verdana" w:eastAsia="Verdana" w:hAnsi="Verdana" w:cs="Verdana"/>
        </w:rPr>
        <w:t xml:space="preserve"> de empenho.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 outra solução disponível seria através de contratações isoladas de empresas para execução dos serviços de instalação e manutenção, após a ocorrência de defeitos nos sistemas, porém pela quantidade de demandas e pela imprevisibilidade das oco</w:t>
      </w:r>
      <w:r>
        <w:rPr>
          <w:rFonts w:ascii="Verdana" w:eastAsia="Verdana" w:hAnsi="Verdana" w:cs="Verdana"/>
        </w:rPr>
        <w:t>rrências, o sistema de registro de preços se mostra mais eficaz.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DESCRIÇÃO DA SOLUÇÃO COMO UM TODO, CONSIDERADO TODO O CICLO DE VIDA DO OBJETO: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Contratação de empresa especializada para contratação de serviços de instalação de cabeamento lógico e elétric</w:t>
      </w:r>
      <w:r>
        <w:rPr>
          <w:rFonts w:ascii="Verdana" w:eastAsia="Verdana" w:hAnsi="Verdana" w:cs="Verdana"/>
        </w:rPr>
        <w:t>o, com fornecimento de material e garantia de 05 anos, através do Sistema de Registro de Preços, para atender às necessidades do Tribunal Regional do Trabalho da 7ª Região.</w:t>
      </w:r>
    </w:p>
    <w:p w:rsidR="00280362" w:rsidRDefault="002803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  <w:color w:val="000000"/>
        </w:rPr>
      </w:pPr>
    </w:p>
    <w:p w:rsidR="00280362" w:rsidRDefault="00AB2986">
      <w:pPr>
        <w:numPr>
          <w:ilvl w:val="1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O detalhamento dos serviços e materiais a serem fornecidos encontra-se em:</w:t>
      </w:r>
    </w:p>
    <w:p w:rsidR="00280362" w:rsidRDefault="00AB298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Itens de Engenharia - Vide Anexos do Termo de Referência:</w:t>
      </w:r>
    </w:p>
    <w:p w:rsidR="00280362" w:rsidRDefault="00AB2986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A - </w:t>
      </w:r>
      <w:r>
        <w:rPr>
          <w:rFonts w:ascii="Verdana" w:eastAsia="Verdana" w:hAnsi="Verdana" w:cs="Verdana"/>
        </w:rPr>
        <w:t>Planilha de Itens de Orçamento</w:t>
      </w:r>
    </w:p>
    <w:p w:rsidR="00280362" w:rsidRDefault="00AB2986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</w:rPr>
        <w:t xml:space="preserve"> - Especificações técnicas dos Itens de Engenharia</w:t>
      </w:r>
    </w:p>
    <w:p w:rsidR="00280362" w:rsidRDefault="00AB298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Itens de TIC – Vide Anexos do Termo de Referência:</w:t>
      </w:r>
    </w:p>
    <w:p w:rsidR="00280362" w:rsidRDefault="00AB2986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</w:rPr>
        <w:t xml:space="preserve"> - </w:t>
      </w:r>
      <w:r>
        <w:rPr>
          <w:rFonts w:ascii="Verdana" w:eastAsia="Verdana" w:hAnsi="Verdana" w:cs="Verdana"/>
        </w:rPr>
        <w:t>Planilha de Itens de Orçamento</w:t>
      </w:r>
    </w:p>
    <w:p w:rsidR="00280362" w:rsidRDefault="00AB2986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ANEXO </w:t>
      </w:r>
      <w:r>
        <w:rPr>
          <w:rFonts w:ascii="Verdana" w:eastAsia="Verdana" w:hAnsi="Verdana" w:cs="Verdana"/>
        </w:rPr>
        <w:t>C</w:t>
      </w:r>
      <w:r>
        <w:rPr>
          <w:rFonts w:ascii="Verdana" w:eastAsia="Verdana" w:hAnsi="Verdana" w:cs="Verdana"/>
        </w:rPr>
        <w:t xml:space="preserve"> - Especificações técnicas dos Itens de TIC</w:t>
      </w:r>
    </w:p>
    <w:p w:rsidR="00280362" w:rsidRDefault="002803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widowControl w:val="0"/>
        <w:spacing w:line="276" w:lineRule="auto"/>
        <w:ind w:left="0" w:hanging="2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</w:rPr>
        <w:t xml:space="preserve">Da mesma forma que as licitações anteriores (pregão 52/2014, pregão 08/2016,  </w:t>
      </w:r>
      <w:r>
        <w:rPr>
          <w:rFonts w:ascii="Verdana" w:eastAsia="Verdana" w:hAnsi="Verdana" w:cs="Verdana"/>
        </w:rPr>
        <w:lastRenderedPageBreak/>
        <w:t>pregão 06/2018 e pregão 10/2021 do TRT7), será mantida a exigência da parceria do licitante com o fabricante, que deverá ser comprova</w:t>
      </w:r>
      <w:r>
        <w:rPr>
          <w:rFonts w:ascii="Verdana" w:eastAsia="Verdana" w:hAnsi="Verdana" w:cs="Verdana"/>
        </w:rPr>
        <w:t xml:space="preserve">da através qualquer documento ou certificado do próprio fabricante de que o licitante é um integrador capacitado (instalador) para fornecer solução de cabeamento com garantia estendida de 5 (cinco) anos. </w:t>
      </w: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Pretende-se realizar contratação de serviços de instalação e ampliação de infraestrutura física de rede, com fornecimento de material incluso. Dentre os itens a serem licitados, apenas os itens que integram a solução de cabeamento metálico e óptico necessi</w:t>
      </w:r>
      <w:r>
        <w:rPr>
          <w:rFonts w:ascii="Verdana" w:eastAsia="Verdana" w:hAnsi="Verdana" w:cs="Verdana"/>
        </w:rPr>
        <w:t xml:space="preserve">tam da </w:t>
      </w:r>
      <w:r>
        <w:rPr>
          <w:rFonts w:ascii="Verdana" w:eastAsia="Verdana" w:hAnsi="Verdana" w:cs="Verdana"/>
          <w:b/>
        </w:rPr>
        <w:t>garantia estendida</w:t>
      </w:r>
      <w:r>
        <w:rPr>
          <w:rFonts w:ascii="Verdana" w:eastAsia="Verdana" w:hAnsi="Verdana" w:cs="Verdana"/>
        </w:rPr>
        <w:t>, tendo em vista que os serviços e materiais de cabeamento a serem fornecidos vão se incorporar à instalação predial, objetivando um período muito longo de uso.</w:t>
      </w: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Apenas o fornecimento dos serviços por integrador do fabricante garant</w:t>
      </w:r>
      <w:r>
        <w:rPr>
          <w:rFonts w:ascii="Verdana" w:eastAsia="Verdana" w:hAnsi="Verdana" w:cs="Verdana"/>
        </w:rPr>
        <w:t>e que o máximo desempenho dos cabos metálicos e ópticos será atingido de acordo com a categoria e especificação do material adquirido. O máximo desempenho, cujo principal parâmetro é a velocidade de transmissão e é influenciado por outros parâmetros elétri</w:t>
      </w:r>
      <w:r>
        <w:rPr>
          <w:rFonts w:ascii="Verdana" w:eastAsia="Verdana" w:hAnsi="Verdana" w:cs="Verdana"/>
        </w:rPr>
        <w:t xml:space="preserve">cos e ópticos, somente é garantido </w:t>
      </w:r>
      <w:r>
        <w:rPr>
          <w:rFonts w:ascii="Verdana" w:eastAsia="Verdana" w:hAnsi="Verdana" w:cs="Verdana"/>
          <w:u w:val="single"/>
        </w:rPr>
        <w:t>durante toda a vida útil do cabeamento</w:t>
      </w:r>
      <w:r>
        <w:rPr>
          <w:rFonts w:ascii="Verdana" w:eastAsia="Verdana" w:hAnsi="Verdana" w:cs="Verdana"/>
        </w:rPr>
        <w:t xml:space="preserve"> se  a) </w:t>
      </w:r>
      <w:r>
        <w:rPr>
          <w:rFonts w:ascii="Verdana" w:eastAsia="Verdana" w:hAnsi="Verdana" w:cs="Verdana"/>
          <w:b/>
        </w:rPr>
        <w:t>corretamente instalados conforme os padrões de cabeamento estruturado</w:t>
      </w:r>
      <w:r>
        <w:rPr>
          <w:rFonts w:ascii="Verdana" w:eastAsia="Verdana" w:hAnsi="Verdana" w:cs="Verdana"/>
        </w:rPr>
        <w:t xml:space="preserve"> e b) </w:t>
      </w:r>
      <w:r>
        <w:rPr>
          <w:rFonts w:ascii="Verdana" w:eastAsia="Verdana" w:hAnsi="Verdana" w:cs="Verdana"/>
          <w:b/>
        </w:rPr>
        <w:t>forem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b/>
        </w:rPr>
        <w:t>utilizados conectores e painéis de conexão e outros acessórios de um mesmo fabricante</w:t>
      </w:r>
      <w:r>
        <w:rPr>
          <w:rFonts w:ascii="Verdana" w:eastAsia="Verdana" w:hAnsi="Verdana" w:cs="Verdana"/>
        </w:rPr>
        <w:t xml:space="preserve"> com tota</w:t>
      </w:r>
      <w:r>
        <w:rPr>
          <w:rFonts w:ascii="Verdana" w:eastAsia="Verdana" w:hAnsi="Verdana" w:cs="Verdana"/>
        </w:rPr>
        <w:t>l compatibilidade entre os componentes da solução de cabeamento e prevenindo perda de performance ao longo do tempo. Caso as duas condições sejam cumpridas (</w:t>
      </w:r>
      <w:r>
        <w:rPr>
          <w:rFonts w:ascii="Verdana" w:eastAsia="Verdana" w:hAnsi="Verdana" w:cs="Verdana"/>
          <w:b/>
        </w:rPr>
        <w:t>a</w:t>
      </w:r>
      <w:r>
        <w:rPr>
          <w:rFonts w:ascii="Verdana" w:eastAsia="Verdana" w:hAnsi="Verdana" w:cs="Verdana"/>
        </w:rPr>
        <w:t xml:space="preserve"> e </w:t>
      </w:r>
      <w:r>
        <w:rPr>
          <w:rFonts w:ascii="Verdana" w:eastAsia="Verdana" w:hAnsi="Verdana" w:cs="Verdana"/>
          <w:b/>
        </w:rPr>
        <w:t>b</w:t>
      </w:r>
      <w:r>
        <w:rPr>
          <w:rFonts w:ascii="Verdana" w:eastAsia="Verdana" w:hAnsi="Verdana" w:cs="Verdana"/>
        </w:rPr>
        <w:t xml:space="preserve">), o fornecedor da solução de cabeamento pode garantir a qualidade da instalação, de modo que </w:t>
      </w:r>
      <w:r>
        <w:rPr>
          <w:rFonts w:ascii="Verdana" w:eastAsia="Verdana" w:hAnsi="Verdana" w:cs="Verdana"/>
        </w:rPr>
        <w:t>o desempenho máximo da especificação do conjunto possa ser atingido, mediante relatórios de certificação produzidos por testes realizados com aparelho certificador de pontos lógicos e/ou óticos. </w:t>
      </w: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Somente um integrador do fabricante é capaz de executar esse</w:t>
      </w:r>
      <w:r>
        <w:rPr>
          <w:rFonts w:ascii="Verdana" w:eastAsia="Verdana" w:hAnsi="Verdana" w:cs="Verdana"/>
        </w:rPr>
        <w:t>s procedimentos de forma a comprovar o máximo desempenho, utilizando os cabos, conectores e demais elementos de uma solução de cabeamento, e entregando, ao final dos serviços, documentação do fabricante que comprove o desempenho do cabeamento, o atendiment</w:t>
      </w:r>
      <w:r>
        <w:rPr>
          <w:rFonts w:ascii="Verdana" w:eastAsia="Verdana" w:hAnsi="Verdana" w:cs="Verdana"/>
        </w:rPr>
        <w:t>o às normas e aos padrões de cabeamento estruturado, resultando para o gestor da contratação uma maior segurança no recebimento definitivo.</w:t>
      </w: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Entendemos que esses requisitos são fundamentais e necessários para preservar o investimento a ser feito pelo TRT, recebendo-se de maneira efetiva um cabeamento que comprovadamente chegue na velocidade máxima especificada. Não há outra forma de se comprova</w:t>
      </w:r>
      <w:r>
        <w:rPr>
          <w:rFonts w:ascii="Verdana" w:eastAsia="Verdana" w:hAnsi="Verdana" w:cs="Verdana"/>
        </w:rPr>
        <w:t>r o desempenho do cabeamento e a conformidade com as especificações a não ser através do uso desses relatórios de certificação dos cabos, apoiados pela documentação (certificado) do fabricante.</w:t>
      </w:r>
    </w:p>
    <w:p w:rsidR="00280362" w:rsidRDefault="00280362">
      <w:pPr>
        <w:widowControl w:val="0"/>
        <w:spacing w:line="276" w:lineRule="auto"/>
        <w:ind w:left="0" w:hanging="2"/>
        <w:jc w:val="both"/>
        <w:rPr>
          <w:rFonts w:ascii="Verdana" w:eastAsia="Verdana" w:hAnsi="Verdana" w:cs="Verdana"/>
          <w:b/>
        </w:rPr>
      </w:pP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Ressalte-se que realização dos serviços por contratada que nã</w:t>
      </w:r>
      <w:r>
        <w:rPr>
          <w:rFonts w:ascii="Verdana" w:eastAsia="Verdana" w:hAnsi="Verdana" w:cs="Verdana"/>
        </w:rPr>
        <w:t>o seja integrador de solução de cabeamento de um fabricante resultará em:</w:t>
      </w: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 dificuldade para o fiscal e gestor do contrato realizar o recebimento seguro dos serviços no que concerne às especificações de desempenho dos itens da solução de cabeamento;</w:t>
      </w: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 prob</w:t>
      </w:r>
      <w:r>
        <w:rPr>
          <w:rFonts w:ascii="Verdana" w:eastAsia="Verdana" w:hAnsi="Verdana" w:cs="Verdana"/>
        </w:rPr>
        <w:t>lemas prematuros nos pontos lógicos ou enlaces ópticos em virtude de instalação incorreta sem a observância dos padrões de cabeamento estruturado ou de utilização de materiais incompatíveis no aspecto do desempenho;</w:t>
      </w: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 caso falhas de conectividade aconteçam</w:t>
      </w:r>
      <w:r>
        <w:rPr>
          <w:rFonts w:ascii="Verdana" w:eastAsia="Verdana" w:hAnsi="Verdana" w:cs="Verdana"/>
        </w:rPr>
        <w:t>, decorrentes de instalação sem qualidade, executada por agente que não seja integrador do fabricante, os prejuízos para o TRT são evidentes, representados por indisponibilidades e/ou quedas de desempenho dos serviços e sistemas de TI. Trata-se de medida (</w:t>
      </w:r>
      <w:r>
        <w:rPr>
          <w:rFonts w:ascii="Verdana" w:eastAsia="Verdana" w:hAnsi="Verdana" w:cs="Verdana"/>
        </w:rPr>
        <w:t>exigência de integrador autorizado) de redução de risco, ou seja, reduzir o risco de ocorrências de falhas de conectividade ou quedas de desempenho em razão de instalações de baixa qualidade. É difícil quantificar quantas ocorrências e o impacto de cada um</w:t>
      </w:r>
      <w:r>
        <w:rPr>
          <w:rFonts w:ascii="Verdana" w:eastAsia="Verdana" w:hAnsi="Verdana" w:cs="Verdana"/>
        </w:rPr>
        <w:t>a delas em termos de produtividade processual, caso a Contratada não possua esse requisito para execução dos serviços. De toda sorte, o único prejuízo passível de quantificação do ponto de vista financeiro é aquele advindo da necessidade de contratar novam</w:t>
      </w:r>
      <w:r>
        <w:rPr>
          <w:rFonts w:ascii="Verdana" w:eastAsia="Verdana" w:hAnsi="Verdana" w:cs="Verdana"/>
        </w:rPr>
        <w:t>ente o cabeamento mal executado.</w:t>
      </w:r>
    </w:p>
    <w:p w:rsidR="00280362" w:rsidRDefault="00AB2986">
      <w:pPr>
        <w:widowControl w:val="0"/>
        <w:spacing w:after="120"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Nas consultas feitas ao mercado, verificou-se que vários fabricantes oferecem solução de cabeamento com garantia estendida, e cada um deles com vários integradores oficiais, de forma que </w:t>
      </w:r>
      <w:r>
        <w:rPr>
          <w:rFonts w:ascii="Verdana" w:eastAsia="Verdana" w:hAnsi="Verdana" w:cs="Verdana"/>
          <w:b/>
          <w:u w:val="single"/>
        </w:rPr>
        <w:t>esse requisito resulta em maior segu</w:t>
      </w:r>
      <w:r>
        <w:rPr>
          <w:rFonts w:ascii="Verdana" w:eastAsia="Verdana" w:hAnsi="Verdana" w:cs="Verdana"/>
          <w:b/>
          <w:u w:val="single"/>
        </w:rPr>
        <w:t>rança para a contratação, garante qualidade e não impede a competitividade</w:t>
      </w:r>
      <w:r>
        <w:rPr>
          <w:rFonts w:ascii="Verdana" w:eastAsia="Verdana" w:hAnsi="Verdana" w:cs="Verdana"/>
        </w:rPr>
        <w:t>.</w:t>
      </w:r>
    </w:p>
    <w:p w:rsidR="00280362" w:rsidRDefault="00AB2986">
      <w:pPr>
        <w:widowControl w:val="0"/>
        <w:tabs>
          <w:tab w:val="left" w:pos="0"/>
        </w:tabs>
        <w:spacing w:line="276" w:lineRule="auto"/>
        <w:ind w:left="0" w:right="1" w:hanging="2"/>
        <w:jc w:val="both"/>
        <w:rPr>
          <w:rFonts w:ascii="Verdana" w:eastAsia="Verdana" w:hAnsi="Verdana" w:cs="Verdana"/>
          <w:b/>
          <w:color w:val="FF0000"/>
        </w:rPr>
      </w:pPr>
      <w:r>
        <w:rPr>
          <w:rFonts w:ascii="Verdana" w:eastAsia="Verdana" w:hAnsi="Verdana" w:cs="Verdana"/>
          <w:b/>
        </w:rPr>
        <w:t xml:space="preserve">Com o intuito de ampliar ainda mais a competitividade do certame, admitir-se-á proposta de solução que contemple composição de itens de fabricantes distintos, </w:t>
      </w:r>
      <w:r>
        <w:rPr>
          <w:rFonts w:ascii="Verdana" w:eastAsia="Verdana" w:hAnsi="Verdana" w:cs="Verdana"/>
          <w:b/>
          <w:u w:val="single"/>
        </w:rPr>
        <w:t>desde que o fabricant</w:t>
      </w:r>
      <w:r>
        <w:rPr>
          <w:rFonts w:ascii="Verdana" w:eastAsia="Verdana" w:hAnsi="Verdana" w:cs="Verdana"/>
          <w:b/>
          <w:u w:val="single"/>
        </w:rPr>
        <w:t>e da solução de cabeamento ótico ou metálico (aquele que fornece a garantia estendida), explicitamente declare que tais produtos estão contemplados pela garantia estendida e não comprometem a qualidade da solução ofertada</w:t>
      </w:r>
      <w:r>
        <w:rPr>
          <w:rFonts w:ascii="Verdana" w:eastAsia="Verdana" w:hAnsi="Verdana" w:cs="Verdana"/>
          <w:b/>
        </w:rPr>
        <w:t>.</w:t>
      </w:r>
    </w:p>
    <w:p w:rsidR="00280362" w:rsidRDefault="002803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Verdana" w:eastAsia="Verdana" w:hAnsi="Verdana" w:cs="Verdana"/>
        </w:rPr>
      </w:pP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ESTIMATIVA DAS QUANTIDADES A SEREM CONTRATADAS: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Para estimativa dos quantitativos foi utilizado o histórico de empenhos das últimas contratações, realizando-se ajustes nos quantitativos, de acordo com as demandas observadas durante os serviços de manutenç</w:t>
      </w:r>
      <w:r>
        <w:rPr>
          <w:rFonts w:ascii="Verdana" w:eastAsia="Verdana" w:hAnsi="Verdana" w:cs="Verdana"/>
        </w:rPr>
        <w:t>ão.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ESTIMATIVA DO VALOR DA CONTRATAÇÃO: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O Orçamento detalhado foi elaborado, conforme Pesquisa de Preços Públicos e de Mercado, traduzida nas Planilhas constantes em ANEXO </w:t>
      </w:r>
      <w:r>
        <w:rPr>
          <w:rFonts w:ascii="Verdana" w:eastAsia="Verdana" w:hAnsi="Verdana" w:cs="Verdana"/>
        </w:rPr>
        <w:t>D</w:t>
      </w:r>
      <w:r>
        <w:rPr>
          <w:rFonts w:ascii="Verdana" w:eastAsia="Verdana" w:hAnsi="Verdana" w:cs="Verdana"/>
        </w:rPr>
        <w:t xml:space="preserve"> - </w:t>
      </w:r>
      <w:r>
        <w:rPr>
          <w:rFonts w:ascii="Verdana" w:eastAsia="Verdana" w:hAnsi="Verdana" w:cs="Verdana"/>
        </w:rPr>
        <w:t>Planilha Orçamentária (Preços Máximos)</w:t>
      </w:r>
      <w:r>
        <w:rPr>
          <w:rFonts w:ascii="Verdana" w:eastAsia="Verdana" w:hAnsi="Verdana" w:cs="Verdana"/>
        </w:rPr>
        <w:t>, a qual integra o Termo de Referência (</w:t>
      </w:r>
      <w:r>
        <w:rPr>
          <w:rFonts w:ascii="Verdana" w:eastAsia="Verdana" w:hAnsi="Verdana" w:cs="Verdana"/>
        </w:rPr>
        <w:t>TR).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JUSTIFICATIVA PARA O PARCELAMENTO OU NÃO DA SOLUÇÃO: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 contratação será composta de GRUPO ÚNICO em virtude da natureza do objeto inviabilizar o fracionamento dos itens. Para atendimento de cada demanda, será necessário utilizar vários itens da ARP, </w:t>
      </w:r>
      <w:r>
        <w:rPr>
          <w:rFonts w:ascii="Verdana" w:eastAsia="Verdana" w:hAnsi="Verdana" w:cs="Verdana"/>
        </w:rPr>
        <w:t>não sendo viável esperar e depender de vários fornecedores para a realização de um serviço, e principalmente porque a garantia estendida para os itens de cabeamento somente é fornecida se todos os itens de cabeamento forem garantidos pelo mesmo fabricante.</w:t>
      </w:r>
      <w:r>
        <w:rPr>
          <w:rFonts w:ascii="Verdana" w:eastAsia="Verdana" w:hAnsi="Verdana" w:cs="Verdana"/>
        </w:rPr>
        <w:t xml:space="preserve"> Fica também impossibilitada a apuração da cota de 25% destinada às microempresas e empresas de pequeno porte </w:t>
      </w:r>
      <w:r>
        <w:rPr>
          <w:rFonts w:ascii="Verdana" w:eastAsia="Verdana" w:hAnsi="Verdana" w:cs="Verdana"/>
        </w:rPr>
        <w:t>pelos mesmos motivos</w:t>
      </w:r>
      <w:r>
        <w:rPr>
          <w:rFonts w:ascii="Verdana" w:eastAsia="Verdana" w:hAnsi="Verdana" w:cs="Verdana"/>
        </w:rPr>
        <w:t>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CONTRATAÇÕES CORRELATAS E/OU INTERDEPENDENTES: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Não se aplica.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ALINHAMENTO ENTRE A CONTRATAÇÃO E O PLANEJAMENTO: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Esta Aqu</w:t>
      </w:r>
      <w:r>
        <w:rPr>
          <w:rFonts w:ascii="Verdana" w:eastAsia="Verdana" w:hAnsi="Verdana" w:cs="Verdana"/>
        </w:rPr>
        <w:t>isição/Contratação está alinhada com o disposto no Plano Estratégico 2021-2026 deste Regional, aprovado pelo Ato TRT7 nº. 64/2021, observando, especialmente, o previsto no Objetivo Estratégico nº 08: Incrementar modelo de gestão de pessoas.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A presente Aqui</w:t>
      </w:r>
      <w:r>
        <w:rPr>
          <w:rFonts w:ascii="Verdana" w:eastAsia="Verdana" w:hAnsi="Verdana" w:cs="Verdana"/>
        </w:rPr>
        <w:t xml:space="preserve">sição/Contratação encontra-se prevista no Plano Anual de Contratações - PAC deste Regional. 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BENEFÍCIOS A SEREM ALCANÇADOS COM A CONTRATAÇÃO: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11.1 </w:t>
      </w:r>
      <w:r>
        <w:rPr>
          <w:rFonts w:ascii="Verdana" w:eastAsia="Verdana" w:hAnsi="Verdana" w:cs="Verdana"/>
        </w:rPr>
        <w:t>Maior agilidade no atendimento das demandas relacionadas ao sistema de rede de computadores, bem como como infraestrutura elétrica para este sistema.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11.2 Oferecer resposta rápida à demanda de crescimento da rede de dados do TRT;</w:t>
      </w:r>
    </w:p>
    <w:p w:rsidR="00280362" w:rsidRDefault="00AB2986">
      <w:pPr>
        <w:widowControl w:val="0"/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11.3 Oferecer resposta ráp</w:t>
      </w:r>
      <w:r>
        <w:rPr>
          <w:rFonts w:ascii="Verdana" w:eastAsia="Verdana" w:hAnsi="Verdana" w:cs="Verdana"/>
        </w:rPr>
        <w:t>ida à demanda de conserto e mudança no posicionamento de pontos de computador;</w:t>
      </w:r>
    </w:p>
    <w:p w:rsidR="00280362" w:rsidRDefault="00AB2986">
      <w:pPr>
        <w:widowControl w:val="0"/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11.4 Garantir a continuidade dos serviços de Manutenção;</w:t>
      </w:r>
    </w:p>
    <w:p w:rsidR="00280362" w:rsidRDefault="00AB2986">
      <w:pPr>
        <w:widowControl w:val="0"/>
        <w:spacing w:line="276" w:lineRule="auto"/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11.5 Propiciar a atualização e modernização de Infraestrutura de TI.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PROVIDÊNCIAS A SEREM ADOTADAS: </w:t>
      </w:r>
      <w:r>
        <w:rPr>
          <w:rFonts w:ascii="Verdana" w:eastAsia="Verdana" w:hAnsi="Verdana" w:cs="Verdana"/>
        </w:rPr>
        <w:t xml:space="preserve">Não se aplica. 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  <w:b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POSSÍVEIS IMPACTOS AMBIENTAIS: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Deverá ser priorizada pela Contratada a utilização de materiais e equipamentos que atendam a critérios de sustentabilidade, tais como segurança, durabilidade e eficiência, de modo a gerar menos resíduos, menor desperdício e </w:t>
      </w:r>
      <w:r>
        <w:rPr>
          <w:rFonts w:ascii="Verdana" w:eastAsia="Verdana" w:hAnsi="Verdana" w:cs="Verdana"/>
        </w:rPr>
        <w:t>menor impacto ambiental.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</w:rPr>
      </w:pPr>
    </w:p>
    <w:p w:rsidR="00280362" w:rsidRDefault="00AB2986">
      <w:pPr>
        <w:numPr>
          <w:ilvl w:val="0"/>
          <w:numId w:val="2"/>
        </w:numPr>
        <w:ind w:left="0" w:hanging="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DECLARAÇÃO DE VIABILIDADE: </w:t>
      </w:r>
      <w:r>
        <w:rPr>
          <w:rFonts w:ascii="Verdana" w:eastAsia="Verdana" w:hAnsi="Verdana" w:cs="Verdana"/>
        </w:rPr>
        <w:t xml:space="preserve">Por todo o exposto </w:t>
      </w:r>
      <w:r>
        <w:rPr>
          <w:rFonts w:ascii="Verdana" w:eastAsia="Verdana" w:hAnsi="Verdana" w:cs="Verdana"/>
        </w:rPr>
        <w:t>neste</w:t>
      </w:r>
      <w:r>
        <w:rPr>
          <w:rFonts w:ascii="Verdana" w:eastAsia="Verdana" w:hAnsi="Verdana" w:cs="Verdana"/>
        </w:rPr>
        <w:t xml:space="preserve"> ETP, pelo conhecimento do mercado, pelas pesquisas realizadas,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>declaramos que a contratação é viável.</w:t>
      </w:r>
      <w:r>
        <w:rPr>
          <w:rFonts w:ascii="Verdana" w:eastAsia="Verdana" w:hAnsi="Verdana" w:cs="Verdana"/>
          <w:b/>
        </w:rPr>
        <w:t xml:space="preserve"> </w:t>
      </w:r>
    </w:p>
    <w:p w:rsidR="00280362" w:rsidRDefault="00AB2986">
      <w:pPr>
        <w:ind w:left="0" w:hanging="2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:rsidR="00280362" w:rsidRDefault="00280362">
      <w:pPr>
        <w:ind w:left="0" w:hanging="2"/>
        <w:jc w:val="both"/>
        <w:rPr>
          <w:rFonts w:ascii="Verdana" w:eastAsia="Verdana" w:hAnsi="Verdana" w:cs="Verdana"/>
          <w:b/>
        </w:rPr>
      </w:pPr>
    </w:p>
    <w:p w:rsidR="00280362" w:rsidRDefault="00280362">
      <w:pPr>
        <w:ind w:left="0" w:hanging="2"/>
        <w:jc w:val="both"/>
        <w:rPr>
          <w:rFonts w:ascii="Verdana" w:eastAsia="Verdana" w:hAnsi="Verdana" w:cs="Verdana"/>
          <w:b/>
        </w:rPr>
      </w:pPr>
    </w:p>
    <w:p w:rsidR="00280362" w:rsidRDefault="00280362">
      <w:pPr>
        <w:ind w:left="0" w:hanging="2"/>
        <w:jc w:val="both"/>
        <w:rPr>
          <w:rFonts w:ascii="Verdana" w:eastAsia="Verdana" w:hAnsi="Verdana" w:cs="Verdana"/>
          <w:b/>
        </w:rPr>
      </w:pPr>
    </w:p>
    <w:tbl>
      <w:tblPr>
        <w:tblStyle w:val="a"/>
        <w:tblW w:w="9301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90"/>
        <w:gridCol w:w="2291"/>
        <w:gridCol w:w="2128"/>
        <w:gridCol w:w="2592"/>
      </w:tblGrid>
      <w:tr w:rsidR="00280362">
        <w:trPr>
          <w:trHeight w:val="454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280362" w:rsidRDefault="00AB2986">
            <w:pPr>
              <w:tabs>
                <w:tab w:val="left" w:pos="426"/>
              </w:tabs>
              <w:spacing w:before="40"/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CIÊNCIA</w:t>
            </w:r>
          </w:p>
        </w:tc>
      </w:tr>
      <w:tr w:rsidR="00280362">
        <w:trPr>
          <w:trHeight w:val="454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80362" w:rsidRDefault="00AB2986">
            <w:pPr>
              <w:tabs>
                <w:tab w:val="left" w:pos="426"/>
              </w:tabs>
              <w:spacing w:before="40"/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Integrante</w:t>
            </w:r>
          </w:p>
          <w:p w:rsidR="00280362" w:rsidRDefault="00AB2986">
            <w:pPr>
              <w:tabs>
                <w:tab w:val="left" w:pos="426"/>
              </w:tabs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Técnico de Engenharia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80362" w:rsidRDefault="00AB2986">
            <w:pPr>
              <w:tabs>
                <w:tab w:val="left" w:pos="426"/>
              </w:tabs>
              <w:spacing w:before="40"/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Integrante</w:t>
            </w:r>
          </w:p>
          <w:p w:rsidR="00280362" w:rsidRDefault="00AB2986">
            <w:pPr>
              <w:tabs>
                <w:tab w:val="left" w:pos="426"/>
              </w:tabs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Técnico de TI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  <w:vAlign w:val="center"/>
          </w:tcPr>
          <w:p w:rsidR="00280362" w:rsidRDefault="00AB2986">
            <w:pPr>
              <w:tabs>
                <w:tab w:val="left" w:pos="426"/>
              </w:tabs>
              <w:spacing w:before="40"/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Integrante</w:t>
            </w:r>
          </w:p>
          <w:p w:rsidR="00280362" w:rsidRDefault="00AB2986">
            <w:pPr>
              <w:tabs>
                <w:tab w:val="left" w:pos="426"/>
              </w:tabs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Requisitante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</w:tcPr>
          <w:p w:rsidR="00280362" w:rsidRDefault="00AB2986">
            <w:pPr>
              <w:tabs>
                <w:tab w:val="left" w:pos="426"/>
              </w:tabs>
              <w:spacing w:before="40"/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Integrante</w:t>
            </w:r>
          </w:p>
          <w:p w:rsidR="00280362" w:rsidRDefault="00AB2986">
            <w:pPr>
              <w:tabs>
                <w:tab w:val="left" w:pos="426"/>
              </w:tabs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Administrativo</w:t>
            </w:r>
          </w:p>
        </w:tc>
      </w:tr>
      <w:tr w:rsidR="00280362">
        <w:trPr>
          <w:trHeight w:val="454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362" w:rsidRDefault="00AB2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sz w:val="18"/>
                <w:szCs w:val="18"/>
              </w:rPr>
              <w:t>_______________</w:t>
            </w:r>
            <w:r>
              <w:rPr>
                <w:rFonts w:ascii="Verdana" w:eastAsia="Verdana" w:hAnsi="Verdana" w:cs="Verdana"/>
                <w:b/>
                <w:i/>
                <w:sz w:val="18"/>
                <w:szCs w:val="18"/>
              </w:rPr>
              <w:t>_</w:t>
            </w:r>
          </w:p>
          <w:p w:rsidR="00280362" w:rsidRDefault="00AB2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Rafael Martins Gomes Nascimento</w:t>
            </w:r>
          </w:p>
          <w:p w:rsidR="00280362" w:rsidRDefault="00AB2986">
            <w:pPr>
              <w:ind w:left="0" w:hanging="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i/>
                <w:sz w:val="18"/>
                <w:szCs w:val="18"/>
              </w:rPr>
              <w:t>Analista Judiciário Esp. Eng. Elétrica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362" w:rsidRDefault="00280362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  <w:p w:rsidR="00280362" w:rsidRDefault="00AB2986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sz w:val="18"/>
                <w:szCs w:val="18"/>
              </w:rPr>
              <w:t>________________</w:t>
            </w:r>
          </w:p>
          <w:p w:rsidR="00280362" w:rsidRDefault="00AB2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Roberto Paulo Dias Alcântara Filho</w:t>
            </w:r>
          </w:p>
          <w:p w:rsidR="00280362" w:rsidRDefault="00AB2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Técnico Judiciário Esp. Tecnologia da Informação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362" w:rsidRDefault="00AB2986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sz w:val="18"/>
                <w:szCs w:val="18"/>
              </w:rPr>
              <w:t>_______________</w:t>
            </w:r>
          </w:p>
          <w:p w:rsidR="00280362" w:rsidRDefault="00AB2986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sz w:val="18"/>
                <w:szCs w:val="18"/>
              </w:rPr>
              <w:t>André Luiz Firmino Gonzaga</w:t>
            </w:r>
          </w:p>
          <w:p w:rsidR="00280362" w:rsidRDefault="00AB2986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Analista Judiciário Esp. Eng. Elétrica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362" w:rsidRDefault="00280362">
            <w:pPr>
              <w:spacing w:line="360" w:lineRule="auto"/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  <w:p w:rsidR="00280362" w:rsidRDefault="00280362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  <w:p w:rsidR="00280362" w:rsidRDefault="00AB2986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sz w:val="18"/>
                <w:szCs w:val="18"/>
              </w:rPr>
              <w:t>__________________</w:t>
            </w:r>
          </w:p>
          <w:p w:rsidR="00280362" w:rsidRDefault="00AB2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Lenívia de Castro e Silva Mendes</w:t>
            </w:r>
          </w:p>
          <w:p w:rsidR="00280362" w:rsidRDefault="00AB2986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Analista Judiciário</w:t>
            </w:r>
          </w:p>
          <w:p w:rsidR="00280362" w:rsidRDefault="00280362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  <w:highlight w:val="yellow"/>
              </w:rPr>
            </w:pPr>
          </w:p>
          <w:p w:rsidR="00280362" w:rsidRDefault="00280362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  <w:highlight w:val="yellow"/>
              </w:rPr>
            </w:pPr>
          </w:p>
          <w:p w:rsidR="00280362" w:rsidRDefault="00280362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  <w:highlight w:val="yellow"/>
              </w:rPr>
            </w:pPr>
          </w:p>
        </w:tc>
      </w:tr>
      <w:tr w:rsidR="00280362">
        <w:trPr>
          <w:trHeight w:val="454"/>
        </w:trPr>
        <w:tc>
          <w:tcPr>
            <w:tcW w:w="0" w:type="auto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362" w:rsidRDefault="00AB2986">
            <w:pPr>
              <w:ind w:left="0" w:hanging="2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Fortaleza, </w:t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16 de outubro</w:t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de 2024.</w:t>
            </w:r>
          </w:p>
        </w:tc>
      </w:tr>
    </w:tbl>
    <w:p w:rsidR="00280362" w:rsidRDefault="00280362">
      <w:pPr>
        <w:ind w:left="0" w:hanging="2"/>
        <w:rPr>
          <w:rFonts w:ascii="Verdana" w:eastAsia="Verdana" w:hAnsi="Verdana" w:cs="Verdana"/>
        </w:rPr>
      </w:pPr>
    </w:p>
    <w:sectPr w:rsidR="002803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986" w:rsidRDefault="00AB2986">
      <w:pPr>
        <w:spacing w:line="240" w:lineRule="auto"/>
        <w:ind w:left="0" w:hanging="2"/>
      </w:pPr>
      <w:r>
        <w:separator/>
      </w:r>
    </w:p>
  </w:endnote>
  <w:endnote w:type="continuationSeparator" w:id="0">
    <w:p w:rsidR="00AB2986" w:rsidRDefault="00AB298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362" w:rsidRDefault="00280362">
    <w:pPr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362" w:rsidRDefault="00AB29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color w:val="000000"/>
      </w:rPr>
    </w:pPr>
    <w:r>
      <w:rPr>
        <w:i/>
        <w:color w:val="000000"/>
      </w:rPr>
      <w:fldChar w:fldCharType="begin"/>
    </w:r>
    <w:r>
      <w:rPr>
        <w:i/>
        <w:color w:val="000000"/>
      </w:rPr>
      <w:instrText>PAGE</w:instrText>
    </w:r>
    <w:r w:rsidR="009838FB">
      <w:rPr>
        <w:i/>
        <w:color w:val="000000"/>
      </w:rPr>
      <w:fldChar w:fldCharType="separate"/>
    </w:r>
    <w:r w:rsidR="009838FB">
      <w:rPr>
        <w:i/>
        <w:noProof/>
        <w:color w:val="000000"/>
      </w:rPr>
      <w:t>1</w:t>
    </w:r>
    <w:r>
      <w:rPr>
        <w:i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362" w:rsidRDefault="00280362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986" w:rsidRDefault="00AB2986">
      <w:pPr>
        <w:spacing w:line="240" w:lineRule="auto"/>
        <w:ind w:left="0" w:hanging="2"/>
      </w:pPr>
      <w:r>
        <w:separator/>
      </w:r>
    </w:p>
  </w:footnote>
  <w:footnote w:type="continuationSeparator" w:id="0">
    <w:p w:rsidR="00AB2986" w:rsidRDefault="00AB298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362" w:rsidRDefault="00280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362" w:rsidRDefault="00280362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A590E"/>
    <w:multiLevelType w:val="multilevel"/>
    <w:tmpl w:val="8AD80728"/>
    <w:lvl w:ilvl="0">
      <w:start w:val="1"/>
      <w:numFmt w:val="decimal"/>
      <w:pStyle w:val="Ttulo10"/>
      <w:lvlText w:val=" %1 "/>
      <w:lvlJc w:val="left"/>
      <w:pPr>
        <w:ind w:left="720" w:hanging="360"/>
      </w:pPr>
      <w:rPr>
        <w:rFonts w:ascii="Calibri" w:eastAsia="Calibri" w:hAnsi="Calibri" w:cs="Calibri"/>
        <w:b w:val="0"/>
        <w:i w:val="0"/>
        <w:sz w:val="20"/>
        <w:szCs w:val="20"/>
        <w:highlight w:val="white"/>
        <w:vertAlign w:val="baseline"/>
      </w:rPr>
    </w:lvl>
    <w:lvl w:ilvl="1">
      <w:start w:val="1"/>
      <w:numFmt w:val="decimal"/>
      <w:lvlText w:val=" %1.%2 "/>
      <w:lvlJc w:val="left"/>
      <w:pPr>
        <w:ind w:left="1080" w:hanging="360"/>
      </w:pPr>
      <w:rPr>
        <w:rFonts w:ascii="Calibri" w:eastAsia="Calibri" w:hAnsi="Calibri" w:cs="Calibri"/>
        <w:b w:val="0"/>
        <w:i w:val="0"/>
        <w:vertAlign w:val="baseline"/>
      </w:rPr>
    </w:lvl>
    <w:lvl w:ilvl="2">
      <w:start w:val="1"/>
      <w:numFmt w:val="decimal"/>
      <w:lvlText w:val=" %1.%2.%3 "/>
      <w:lvlJc w:val="left"/>
      <w:pPr>
        <w:ind w:left="1440" w:hanging="360"/>
      </w:pPr>
      <w:rPr>
        <w:rFonts w:ascii="Calibri" w:eastAsia="Calibri" w:hAnsi="Calibri" w:cs="Calibri"/>
        <w:b w:val="0"/>
        <w:i w:val="0"/>
        <w:vertAlign w:val="baseline"/>
      </w:rPr>
    </w:lvl>
    <w:lvl w:ilvl="3">
      <w:start w:val="1"/>
      <w:numFmt w:val="decimal"/>
      <w:lvlText w:val=" %1.%2.%3.%4 "/>
      <w:lvlJc w:val="left"/>
      <w:pPr>
        <w:ind w:left="1800" w:hanging="360"/>
      </w:pPr>
      <w:rPr>
        <w:rFonts w:ascii="Arial" w:eastAsia="Arial" w:hAnsi="Arial" w:cs="Arial"/>
        <w:b w:val="0"/>
        <w:i w:val="0"/>
        <w:vertAlign w:val="baseline"/>
      </w:rPr>
    </w:lvl>
    <w:lvl w:ilvl="4">
      <w:start w:val="1"/>
      <w:numFmt w:val="decimal"/>
      <w:lvlText w:val=" %1.%2.%3.%4.%5 "/>
      <w:lvlJc w:val="left"/>
      <w:pPr>
        <w:ind w:left="2160" w:hanging="360"/>
      </w:pPr>
      <w:rPr>
        <w:rFonts w:ascii="Arial" w:eastAsia="Arial" w:hAnsi="Arial" w:cs="Arial"/>
        <w:b w:val="0"/>
        <w:i w:val="0"/>
        <w:vertAlign w:val="baseline"/>
      </w:rPr>
    </w:lvl>
    <w:lvl w:ilvl="5">
      <w:start w:val="1"/>
      <w:numFmt w:val="decimal"/>
      <w:lvlText w:val=" %1.%2.%3.%4.%5.%6 "/>
      <w:lvlJc w:val="left"/>
      <w:pPr>
        <w:ind w:left="2520" w:hanging="360"/>
      </w:pPr>
      <w:rPr>
        <w:rFonts w:ascii="Arial" w:eastAsia="Arial" w:hAnsi="Arial" w:cs="Arial"/>
        <w:b w:val="0"/>
        <w:i w:val="0"/>
        <w:vertAlign w:val="baseline"/>
      </w:rPr>
    </w:lvl>
    <w:lvl w:ilvl="6">
      <w:start w:val="1"/>
      <w:numFmt w:val="decimal"/>
      <w:lvlText w:val=" %1.%2.%3.%4.%5.%6.%7 "/>
      <w:lvlJc w:val="left"/>
      <w:pPr>
        <w:ind w:left="2880" w:hanging="360"/>
      </w:pPr>
      <w:rPr>
        <w:rFonts w:ascii="Arial" w:eastAsia="Arial" w:hAnsi="Arial" w:cs="Arial"/>
        <w:b w:val="0"/>
        <w:i w:val="0"/>
        <w:vertAlign w:val="baseline"/>
      </w:rPr>
    </w:lvl>
    <w:lvl w:ilvl="7">
      <w:start w:val="1"/>
      <w:numFmt w:val="decimal"/>
      <w:lvlText w:val=" %1.%2.%3.%4.%5.%6.%7.%8 "/>
      <w:lvlJc w:val="left"/>
      <w:pPr>
        <w:ind w:left="3240" w:hanging="360"/>
      </w:pPr>
      <w:rPr>
        <w:rFonts w:ascii="Arial" w:eastAsia="Arial" w:hAnsi="Arial" w:cs="Arial"/>
        <w:b w:val="0"/>
        <w:i w:val="0"/>
        <w:vertAlign w:val="baseline"/>
      </w:rPr>
    </w:lvl>
    <w:lvl w:ilvl="8">
      <w:start w:val="1"/>
      <w:numFmt w:val="decimal"/>
      <w:lvlText w:val=" %1.%2.%3.%4.%5.%6.%7.%8.%9 "/>
      <w:lvlJc w:val="left"/>
      <w:pPr>
        <w:ind w:left="3600" w:hanging="360"/>
      </w:pPr>
      <w:rPr>
        <w:rFonts w:ascii="Arial" w:eastAsia="Arial" w:hAnsi="Arial" w:cs="Arial"/>
        <w:b w:val="0"/>
        <w:i w:val="0"/>
        <w:vertAlign w:val="baseline"/>
      </w:rPr>
    </w:lvl>
  </w:abstractNum>
  <w:abstractNum w:abstractNumId="1" w15:restartNumberingAfterBreak="0">
    <w:nsid w:val="50F9379A"/>
    <w:multiLevelType w:val="multilevel"/>
    <w:tmpl w:val="837A7BA8"/>
    <w:lvl w:ilvl="0">
      <w:start w:val="1"/>
      <w:numFmt w:val="bullet"/>
      <w:pStyle w:val="Ttulo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pStyle w:val="Ttulo2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pStyle w:val="Ttulo4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pStyle w:val="Ttulo5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pStyle w:val="Ttulo8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pStyle w:val="Ttulo9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362"/>
    <w:rsid w:val="00280362"/>
    <w:rsid w:val="009838FB"/>
    <w:rsid w:val="00AB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D7661-C85C-4FCF-B4F6-A3144D1F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numPr>
        <w:numId w:val="1"/>
      </w:numPr>
      <w:tabs>
        <w:tab w:val="left" w:pos="11160"/>
      </w:tabs>
      <w:ind w:left="0" w:right="49" w:firstLine="2552"/>
      <w:jc w:val="both"/>
    </w:pPr>
    <w:rPr>
      <w:rFonts w:ascii="CG Times" w:hAnsi="CG Times" w:cs="CG Times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ind w:left="-1" w:hanging="1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ind w:left="0" w:firstLine="3119"/>
      <w:jc w:val="both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ind w:left="0" w:right="-136" w:firstLine="0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pPr>
      <w:numPr>
        <w:ilvl w:val="7"/>
        <w:numId w:val="1"/>
      </w:numPr>
      <w:spacing w:before="240" w:after="60"/>
      <w:ind w:left="-1" w:hanging="1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pPr>
      <w:numPr>
        <w:ilvl w:val="8"/>
        <w:numId w:val="1"/>
      </w:numPr>
      <w:spacing w:before="240" w:after="60"/>
      <w:ind w:left="-1" w:hanging="1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30"/>
    <w:next w:val="Subttulo"/>
    <w:uiPriority w:val="10"/>
    <w:qFormat/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hAnsi="Arial" w:cs="Arial"/>
      <w:w w:val="100"/>
      <w:position w:val="-1"/>
      <w:sz w:val="21"/>
      <w:szCs w:val="2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Arial" w:hAnsi="Arial" w:cs="Arial"/>
      <w:b/>
      <w:w w:val="100"/>
      <w:position w:val="-1"/>
      <w:effect w:val="none"/>
      <w:vertAlign w:val="baseline"/>
      <w:cs w:val="0"/>
      <w:em w:val="none"/>
      <w:lang w:val="pt-BR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8">
    <w:name w:val="Fonte parág. padrão8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7">
    <w:name w:val="Fonte parág. padrão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hAnsi="Arial" w:cs="Arial" w:hint="default"/>
      <w:b/>
      <w:bCs w:val="0"/>
      <w:i w:val="0"/>
      <w:w w:val="100"/>
      <w:position w:val="-1"/>
      <w:sz w:val="21"/>
      <w:szCs w:val="21"/>
      <w:effect w:val="none"/>
      <w:vertAlign w:val="baseline"/>
      <w:cs w:val="0"/>
      <w:em w:val="none"/>
      <w:lang w:val="pt-BR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6">
    <w:name w:val="Fonte parág. padrão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b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Wingdings" w:hAnsi="Wingdings" w:cs="Wingdings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5">
    <w:name w:val="Fonte parág. padrão5"/>
    <w:rPr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4">
    <w:name w:val="Fonte parág. padrão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">
    <w:name w:val="WW-Absatz-Standardschriftart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">
    <w:name w:val="WW-Absatz-Standardschriftart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">
    <w:name w:val="WW-Absatz-Standardschriftart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">
    <w:name w:val="WW-Absatz-Standardschriftart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">
    <w:name w:val="WW-Absatz-Standardschriftart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">
    <w:name w:val="WW-Absatz-Standardschriftart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3">
    <w:name w:val="Fonte parág. padrão3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2">
    <w:name w:val="Fonte parág. padrão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">
    <w:name w:val="WW-Absatz-Standardschriftart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">
    <w:name w:val="WW-Absatz-Standardschriftart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">
    <w:name w:val="WW-Absatz-Standardschriftart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">
    <w:name w:val="WW-Absatz-Standardschriftart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">
    <w:name w:val="WW-Absatz-Standardschriftart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">
    <w:name w:val="WW-Absatz-Standardschriftart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">
    <w:name w:val="WW-Absatz-Standardschriftart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1">
    <w:name w:val="WW-Absatz-Standardschriftart1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11">
    <w:name w:val="WW-Absatz-Standardschriftart11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111">
    <w:name w:val="WW-Absatz-Standardschriftart111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1111">
    <w:name w:val="WW-Absatz-Standardschriftart1111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11111">
    <w:name w:val="WW-Absatz-Standardschriftart11111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111111">
    <w:name w:val="WW-Absatz-Standardschriftart111111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1111111">
    <w:name w:val="WW-Absatz-Standardschriftart1111111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111111111">
    <w:name w:val="WW-Absatz-Standardschriftart111111111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Fontepargpadro1">
    <w:name w:val="Fonte parág. padrão1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merodepgina">
    <w:name w:val="page number"/>
    <w:basedOn w:val="Fontepargpadro1"/>
    <w:rPr>
      <w:w w:val="100"/>
      <w:position w:val="-1"/>
      <w:effect w:val="none"/>
      <w:vertAlign w:val="baseline"/>
      <w:cs w:val="0"/>
      <w:em w:val="none"/>
    </w:rPr>
  </w:style>
  <w:style w:type="character" w:customStyle="1" w:styleId="EMENTAChar">
    <w:name w:val="EMENTA Char"/>
    <w:rPr>
      <w:rFonts w:ascii="CG Times" w:hAnsi="CG Times" w:cs="CG Times"/>
      <w:b/>
      <w:w w:val="100"/>
      <w:position w:val="-1"/>
      <w:sz w:val="24"/>
      <w:effect w:val="none"/>
      <w:vertAlign w:val="baseline"/>
      <w:cs w:val="0"/>
      <w:em w:val="none"/>
      <w:lang w:val="pt-BR" w:eastAsia="ar-SA" w:bidi="ar-SA"/>
    </w:rPr>
  </w:style>
  <w:style w:type="character" w:customStyle="1" w:styleId="Smbolosdenumerao">
    <w:name w:val="Símbolos de numeração"/>
    <w:rPr>
      <w:rFonts w:ascii="Arial" w:hAnsi="Arial" w:cs="Arial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CorpodetextoChar">
    <w:name w:val="Corpo de texto Char"/>
    <w:basedOn w:val="Fontepargpadro6"/>
    <w:rPr>
      <w:w w:val="100"/>
      <w:position w:val="-1"/>
      <w:effect w:val="none"/>
      <w:vertAlign w:val="baseline"/>
      <w:cs w:val="0"/>
      <w:em w:val="none"/>
    </w:rPr>
  </w:style>
  <w:style w:type="character" w:customStyle="1" w:styleId="markedcontent">
    <w:name w:val="markedcontent"/>
    <w:rPr>
      <w:w w:val="100"/>
      <w:position w:val="-1"/>
      <w:effect w:val="none"/>
      <w:vertAlign w:val="baseline"/>
      <w:cs w:val="0"/>
      <w:em w:val="none"/>
    </w:rPr>
  </w:style>
  <w:style w:type="character" w:customStyle="1" w:styleId="Marcadores">
    <w:name w:val="Marcadore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8">
    <w:name w:val="Legenda8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tulo11">
    <w:name w:val="Título1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pPr>
      <w:ind w:left="0" w:right="-93" w:firstLine="0"/>
      <w:jc w:val="center"/>
    </w:pPr>
    <w:rPr>
      <w:b/>
      <w:sz w:val="22"/>
    </w:rPr>
  </w:style>
  <w:style w:type="paragraph" w:styleId="Recuodecorpodetexto">
    <w:name w:val="Body Text Indent"/>
    <w:basedOn w:val="Normal"/>
    <w:pPr>
      <w:tabs>
        <w:tab w:val="left" w:pos="1418"/>
      </w:tabs>
      <w:ind w:left="0" w:right="-1" w:firstLine="1701"/>
      <w:jc w:val="both"/>
    </w:pPr>
  </w:style>
  <w:style w:type="paragraph" w:customStyle="1" w:styleId="Normal11pt">
    <w:name w:val="Normal + 11 pt"/>
    <w:basedOn w:val="Normal"/>
    <w:pPr>
      <w:ind w:left="0" w:right="-759" w:firstLine="0"/>
      <w:jc w:val="both"/>
    </w:pPr>
    <w:rPr>
      <w:b/>
      <w:sz w:val="22"/>
      <w:szCs w:val="22"/>
    </w:rPr>
  </w:style>
  <w:style w:type="paragraph" w:customStyle="1" w:styleId="Ttulo10">
    <w:name w:val="Título 10"/>
    <w:basedOn w:val="Normal"/>
    <w:next w:val="Corpodetexto"/>
    <w:pPr>
      <w:keepNext/>
      <w:numPr>
        <w:numId w:val="2"/>
      </w:numPr>
      <w:spacing w:before="240" w:after="120"/>
      <w:ind w:left="-1" w:hanging="1"/>
    </w:pPr>
    <w:rPr>
      <w:rFonts w:ascii="Arial" w:eastAsia="MS Mincho" w:hAnsi="Arial" w:cs="Tahoma"/>
      <w:b/>
      <w:bCs/>
      <w:sz w:val="21"/>
      <w:szCs w:val="21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Recuodecorpodetexto31">
    <w:name w:val="Recuo de corpo de texto 31"/>
    <w:basedOn w:val="Normal"/>
    <w:pPr>
      <w:spacing w:after="120"/>
      <w:ind w:left="283" w:firstLine="0"/>
    </w:pPr>
    <w:rPr>
      <w:sz w:val="16"/>
      <w:szCs w:val="16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</w:style>
  <w:style w:type="paragraph" w:customStyle="1" w:styleId="Corpodetexto21">
    <w:name w:val="Corpo de texto 21"/>
    <w:basedOn w:val="Normal"/>
    <w:pPr>
      <w:spacing w:after="120" w:line="480" w:lineRule="auto"/>
    </w:pPr>
  </w:style>
  <w:style w:type="paragraph" w:customStyle="1" w:styleId="Normal12pt">
    <w:name w:val="Normal + 12 pt"/>
    <w:basedOn w:val="Recuodecorpodetexto31"/>
    <w:pPr>
      <w:spacing w:after="0" w:line="360" w:lineRule="auto"/>
      <w:ind w:left="0"/>
      <w:jc w:val="both"/>
    </w:pPr>
    <w:rPr>
      <w:b/>
      <w:sz w:val="24"/>
      <w:szCs w:val="2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audao1">
    <w:name w:val="Saudação1"/>
    <w:basedOn w:val="Normal"/>
    <w:pPr>
      <w:widowControl w:val="0"/>
      <w:jc w:val="both"/>
    </w:pPr>
    <w:rPr>
      <w:rFonts w:ascii="Arial" w:eastAsia="Arial Unicode MS" w:hAnsi="Arial" w:cs="Arial"/>
      <w:sz w:val="24"/>
    </w:rPr>
  </w:style>
  <w:style w:type="paragraph" w:styleId="PargrafodaLista">
    <w:name w:val="List Paragraph"/>
    <w:basedOn w:val="Normal"/>
    <w:pPr>
      <w:suppressAutoHyphens/>
      <w:ind w:left="708" w:firstLine="0"/>
    </w:pPr>
    <w:rPr>
      <w:sz w:val="24"/>
      <w:szCs w:val="24"/>
    </w:rPr>
  </w:style>
  <w:style w:type="paragraph" w:styleId="NormalWeb">
    <w:name w:val="Normal (Web)"/>
    <w:basedOn w:val="Normal"/>
    <w:pPr>
      <w:suppressAutoHyphens/>
      <w:spacing w:before="280" w:after="280"/>
    </w:pPr>
    <w:rPr>
      <w:sz w:val="24"/>
      <w:szCs w:val="24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customStyle="1" w:styleId="western">
    <w:name w:val="western"/>
    <w:basedOn w:val="Normal"/>
    <w:pPr>
      <w:suppressAutoHyphens/>
      <w:spacing w:before="280" w:after="119"/>
    </w:pPr>
    <w:rPr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UW8szbBbQ6noQem3Hhh+jM3LWA==">CgMxLjA4AHIhMU5WeGQzZ1BpUmFNUmhLZmp0TzNEM3JCekkwc3RKUFBK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1963</Words>
  <Characters>10601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TRT</dc:creator>
  <cp:lastModifiedBy>Marceyron ..</cp:lastModifiedBy>
  <cp:revision>2</cp:revision>
  <dcterms:created xsi:type="dcterms:W3CDTF">2025-02-14T11:09:00Z</dcterms:created>
  <dcterms:modified xsi:type="dcterms:W3CDTF">2025-02-14T11:09:00Z</dcterms:modified>
</cp:coreProperties>
</file>